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792" w:rsidRPr="00607315" w:rsidRDefault="00087792" w:rsidP="00087792">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t>ПРОФИЛАКТИКА ПРЕСТУПЛЕНИЙ ПРОТИВ ПОЛОВОЙ НЕПРИКОСНОВЕННОСТИ В ОТНОШЕНИИ НЕСОВЕРШЕННОЛЕТНИХ</w:t>
      </w:r>
    </w:p>
    <w:p w:rsidR="00087792" w:rsidRPr="00F8159D" w:rsidRDefault="00087792" w:rsidP="00087792">
      <w:pPr>
        <w:pStyle w:val="a5"/>
        <w:ind w:firstLine="708"/>
        <w:jc w:val="both"/>
        <w:rPr>
          <w:rFonts w:ascii="Times New Roman" w:eastAsia="Times New Roman" w:hAnsi="Times New Roman" w:cs="Times New Roman"/>
          <w:b/>
          <w:sz w:val="30"/>
          <w:szCs w:val="30"/>
        </w:rPr>
      </w:pPr>
      <w:r w:rsidRPr="00F8159D">
        <w:rPr>
          <w:rFonts w:ascii="Times New Roman" w:eastAsia="Times New Roman" w:hAnsi="Times New Roman" w:cs="Times New Roman"/>
          <w:b/>
          <w:sz w:val="30"/>
          <w:szCs w:val="30"/>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r>
        <w:rPr>
          <w:rFonts w:ascii="Times New Roman" w:eastAsia="Times New Roman" w:hAnsi="Times New Roman" w:cs="Times New Roman"/>
          <w:b/>
          <w:sz w:val="30"/>
          <w:szCs w:val="30"/>
        </w:rPr>
        <w:t>.</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УК), развратные действия (ст.169 УК), понуждение к действиям сексуального характера (ст.170 УК) и др.</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w:t>
      </w:r>
    </w:p>
    <w:p w:rsidR="00087792"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Таким образом, совершение указанных действий даже по обоюдному согласию является уголовно наказуемым деянием для того, кто уже достиг 18-летнего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w:t>
      </w:r>
    </w:p>
    <w:p w:rsidR="00087792" w:rsidRDefault="00087792" w:rsidP="00087792">
      <w:pPr>
        <w:spacing w:after="0"/>
        <w:ind w:firstLine="708"/>
        <w:contextualSpacing/>
        <w:rPr>
          <w:rFonts w:ascii="Times New Roman" w:eastAsia="Times New Roman" w:hAnsi="Times New Roman"/>
          <w:i/>
          <w:iCs/>
          <w:sz w:val="28"/>
          <w:szCs w:val="24"/>
          <w:lang w:eastAsia="ru-RU"/>
        </w:rPr>
      </w:pPr>
      <w:proofErr w:type="spellStart"/>
      <w:r>
        <w:rPr>
          <w:rFonts w:ascii="Times New Roman" w:eastAsia="Times New Roman" w:hAnsi="Times New Roman"/>
          <w:i/>
          <w:iCs/>
          <w:sz w:val="28"/>
          <w:szCs w:val="24"/>
          <w:lang w:eastAsia="ru-RU"/>
        </w:rPr>
        <w:t>Справочно</w:t>
      </w:r>
      <w:proofErr w:type="spellEnd"/>
      <w:r>
        <w:rPr>
          <w:rFonts w:ascii="Times New Roman" w:eastAsia="Times New Roman" w:hAnsi="Times New Roman"/>
          <w:i/>
          <w:iCs/>
          <w:sz w:val="28"/>
          <w:szCs w:val="24"/>
          <w:lang w:eastAsia="ru-RU"/>
        </w:rPr>
        <w:t>:</w:t>
      </w:r>
    </w:p>
    <w:p w:rsidR="00087792" w:rsidRDefault="00087792" w:rsidP="00087792">
      <w:pPr>
        <w:spacing w:after="0"/>
        <w:contextualSpacing/>
        <w:jc w:val="both"/>
        <w:rPr>
          <w:rFonts w:ascii="Times New Roman" w:eastAsia="Times New Roman" w:hAnsi="Times New Roman"/>
          <w:i/>
          <w:iCs/>
          <w:sz w:val="28"/>
          <w:szCs w:val="24"/>
          <w:lang w:eastAsia="ru-RU"/>
        </w:rPr>
      </w:pPr>
      <w:r>
        <w:rPr>
          <w:rFonts w:ascii="Times New Roman" w:eastAsia="Times New Roman" w:hAnsi="Times New Roman"/>
          <w:i/>
          <w:iCs/>
          <w:sz w:val="28"/>
          <w:szCs w:val="24"/>
          <w:lang w:eastAsia="ru-RU"/>
        </w:rPr>
        <w:tab/>
        <w:t>На территории Хотимского района за истекший 2023 год выявлено 2 преступления по ч.1 ст. 168 УК Республики Беларусь. В 2022 году выявлено 1 преступление по ч.1 ст. 168 УК Республики Беларусь. В 2021 году было выявлено 3 таковых преступления (2 – по ч.1 ст.168 УК Республики Беларусь и 1 – по ч.2 ст. 168 УК Республики Беларусь).</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Как показывает следственная практика, в большинстве случаев несовершеннолетние становятся жертвами противоправных </w:t>
      </w:r>
      <w:r w:rsidRPr="00607315">
        <w:rPr>
          <w:rFonts w:ascii="Times New Roman" w:hAnsi="Times New Roman"/>
          <w:color w:val="000000" w:themeColor="text1"/>
          <w:sz w:val="30"/>
          <w:szCs w:val="30"/>
        </w:rPr>
        <w:lastRenderedPageBreak/>
        <w:t>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087792"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 xml:space="preserve">тов»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 xml:space="preserve">та»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087792" w:rsidRDefault="00087792" w:rsidP="00087792">
      <w:pPr>
        <w:spacing w:after="0"/>
        <w:contextualSpacing/>
        <w:jc w:val="both"/>
        <w:rPr>
          <w:rFonts w:ascii="Times New Roman" w:eastAsia="Times New Roman" w:hAnsi="Times New Roman"/>
          <w:i/>
          <w:iCs/>
          <w:sz w:val="28"/>
          <w:szCs w:val="24"/>
          <w:lang w:eastAsia="ru-RU"/>
        </w:rPr>
      </w:pP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Особенностью некоторых уголовных дел является то, что обвиняемыми выступают близкие люди потерпевших – мать, отец и отчим.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w:t>
      </w:r>
      <w:proofErr w:type="spellStart"/>
      <w:r w:rsidRPr="00F8159D">
        <w:rPr>
          <w:rFonts w:ascii="Times New Roman" w:eastAsia="Times New Roman" w:hAnsi="Times New Roman" w:cs="Times New Roman"/>
          <w:sz w:val="30"/>
          <w:szCs w:val="30"/>
        </w:rPr>
        <w:t>родительско</w:t>
      </w:r>
      <w:proofErr w:type="spellEnd"/>
      <w:r w:rsidRPr="00F8159D">
        <w:rPr>
          <w:rFonts w:ascii="Times New Roman" w:eastAsia="Times New Roman" w:hAnsi="Times New Roman" w:cs="Times New Roman"/>
          <w:sz w:val="30"/>
          <w:szCs w:val="30"/>
        </w:rPr>
        <w:t>-детские связи, а также неосведомленность несовершеннолетних с действующим законодательством в этом направлении.</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 xml:space="preserve">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w:t>
      </w:r>
      <w:proofErr w:type="spellStart"/>
      <w:r w:rsidRPr="00F8159D">
        <w:rPr>
          <w:rFonts w:ascii="Times New Roman" w:eastAsia="Times New Roman" w:hAnsi="Times New Roman" w:cs="Times New Roman"/>
          <w:sz w:val="30"/>
          <w:szCs w:val="30"/>
        </w:rPr>
        <w:t>психосексуальной</w:t>
      </w:r>
      <w:proofErr w:type="spellEnd"/>
      <w:r w:rsidRPr="00F8159D">
        <w:rPr>
          <w:rFonts w:ascii="Times New Roman" w:eastAsia="Times New Roman" w:hAnsi="Times New Roman" w:cs="Times New Roman"/>
          <w:sz w:val="30"/>
          <w:szCs w:val="30"/>
        </w:rPr>
        <w:t xml:space="preserve">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 xml:space="preserve">Противодействовать подготовительной стадии таких преступлений крайне проблематично. Кроме того, преступники заставляют детей скрывать случившееся, используя различные способы воздействия, в том числе шантаж (например: выложить </w:t>
      </w:r>
      <w:proofErr w:type="gramStart"/>
      <w:r w:rsidRPr="00F8159D">
        <w:rPr>
          <w:rFonts w:ascii="Times New Roman" w:eastAsia="Times New Roman" w:hAnsi="Times New Roman" w:cs="Times New Roman"/>
          <w:sz w:val="30"/>
          <w:szCs w:val="30"/>
        </w:rPr>
        <w:t>фото-материалы</w:t>
      </w:r>
      <w:proofErr w:type="gramEnd"/>
      <w:r w:rsidRPr="00F8159D">
        <w:rPr>
          <w:rFonts w:ascii="Times New Roman" w:eastAsia="Times New Roman" w:hAnsi="Times New Roman" w:cs="Times New Roman"/>
          <w:sz w:val="30"/>
          <w:szCs w:val="30"/>
        </w:rPr>
        <w:t xml:space="preserve">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Интернет, перед этим изучают детскую психологию для того, чтобы быстро войти к детям в доверие. Порой присылают детям фото или </w:t>
      </w:r>
      <w:proofErr w:type="gramStart"/>
      <w:r w:rsidRPr="00F8159D">
        <w:rPr>
          <w:rFonts w:ascii="Times New Roman" w:eastAsia="Times New Roman" w:hAnsi="Times New Roman" w:cs="Times New Roman"/>
          <w:sz w:val="30"/>
          <w:szCs w:val="30"/>
        </w:rPr>
        <w:t>видео-материалы</w:t>
      </w:r>
      <w:proofErr w:type="gramEnd"/>
      <w:r w:rsidRPr="00F8159D">
        <w:rPr>
          <w:rFonts w:ascii="Times New Roman" w:eastAsia="Times New Roman" w:hAnsi="Times New Roman" w:cs="Times New Roman"/>
          <w:sz w:val="30"/>
          <w:szCs w:val="30"/>
        </w:rPr>
        <w:t xml:space="preserve"> порнографического содержания, рассказывая о том, что это сейчас модно и многие подростки живут этим. «Педофилы» стараются тщательно скрывают свою преступную деятельность, что приводит к </w:t>
      </w:r>
      <w:proofErr w:type="spellStart"/>
      <w:r w:rsidRPr="00F8159D">
        <w:rPr>
          <w:rFonts w:ascii="Times New Roman" w:eastAsia="Times New Roman" w:hAnsi="Times New Roman" w:cs="Times New Roman"/>
          <w:sz w:val="30"/>
          <w:szCs w:val="30"/>
        </w:rPr>
        <w:t>многоэпизодности</w:t>
      </w:r>
      <w:proofErr w:type="spellEnd"/>
      <w:r w:rsidRPr="00F8159D">
        <w:rPr>
          <w:rFonts w:ascii="Times New Roman" w:eastAsia="Times New Roman" w:hAnsi="Times New Roman" w:cs="Times New Roman"/>
          <w:sz w:val="30"/>
          <w:szCs w:val="30"/>
        </w:rPr>
        <w:t xml:space="preserve"> таких преступлений. Как результат, на </w:t>
      </w:r>
      <w:r w:rsidRPr="00F8159D">
        <w:rPr>
          <w:rFonts w:ascii="Times New Roman" w:eastAsia="Times New Roman" w:hAnsi="Times New Roman" w:cs="Times New Roman"/>
          <w:sz w:val="30"/>
          <w:szCs w:val="30"/>
        </w:rPr>
        <w:lastRenderedPageBreak/>
        <w:t>протяжении нескольких месяцев, иногда и лет, могут совершаться преступления в отношении детей.</w:t>
      </w:r>
    </w:p>
    <w:p w:rsidR="00087792" w:rsidRPr="00F8159D" w:rsidRDefault="00087792" w:rsidP="00087792">
      <w:pPr>
        <w:pStyle w:val="a5"/>
        <w:ind w:firstLine="708"/>
        <w:jc w:val="both"/>
        <w:rPr>
          <w:rFonts w:ascii="Times New Roman" w:eastAsia="Times New Roman" w:hAnsi="Times New Roman" w:cs="Times New Roman"/>
          <w:sz w:val="30"/>
          <w:szCs w:val="30"/>
        </w:rPr>
      </w:pPr>
      <w:r w:rsidRPr="00F8159D">
        <w:rPr>
          <w:rFonts w:ascii="Times New Roman" w:eastAsia="Times New Roman" w:hAnsi="Times New Roman" w:cs="Times New Roman"/>
          <w:sz w:val="30"/>
          <w:szCs w:val="30"/>
        </w:rPr>
        <w:t>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w:t>
      </w:r>
    </w:p>
    <w:p w:rsidR="00087792"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087792" w:rsidRDefault="00087792" w:rsidP="00087792">
      <w:pPr>
        <w:spacing w:before="100" w:beforeAutospacing="1" w:after="100" w:afterAutospacing="1"/>
        <w:ind w:firstLine="708"/>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Расскажите детям об их праве на личную неприкосновенность, на защиту себя от физических посягательств любыми средствами.</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 ВАЖНО научить ребенка отличать уважение к взрослым от безусловного подчинения всем старшим. </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 Дети имеют право и должны </w:t>
      </w:r>
      <w:proofErr w:type="gramStart"/>
      <w:r>
        <w:rPr>
          <w:rFonts w:ascii="Times New Roman" w:eastAsia="Times New Roman" w:hAnsi="Times New Roman"/>
          <w:sz w:val="28"/>
          <w:szCs w:val="24"/>
          <w:lang w:eastAsia="ru-RU"/>
        </w:rPr>
        <w:t>сказать</w:t>
      </w:r>
      <w:proofErr w:type="gramEnd"/>
      <w:r>
        <w:rPr>
          <w:rFonts w:ascii="Times New Roman" w:eastAsia="Times New Roman" w:hAnsi="Times New Roman"/>
          <w:sz w:val="28"/>
          <w:szCs w:val="24"/>
          <w:lang w:eastAsia="ru-RU"/>
        </w:rPr>
        <w:t xml:space="preserve"> «НЕТ» любому, кто намеревается причинить им вред в любой форме.</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НАДО ПОМНИТЬ,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ЗНАЙТЕ,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087792" w:rsidRDefault="00087792" w:rsidP="00087792">
      <w:pPr>
        <w:spacing w:before="100" w:beforeAutospacing="1" w:after="100" w:afterAutospacing="1"/>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НЕРЕДКО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 </w:t>
      </w:r>
      <w:r w:rsidRPr="00607315">
        <w:rPr>
          <w:rFonts w:ascii="Times New Roman" w:hAnsi="Times New Roman"/>
          <w:color w:val="000000" w:themeColor="text1"/>
          <w:sz w:val="30"/>
          <w:szCs w:val="30"/>
        </w:rPr>
        <w:t>не ездить на вписки к незнакомцам;</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 </w:t>
      </w:r>
      <w:r w:rsidRPr="00607315">
        <w:rPr>
          <w:rFonts w:ascii="Times New Roman" w:hAnsi="Times New Roman"/>
          <w:color w:val="000000" w:themeColor="text1"/>
          <w:sz w:val="30"/>
          <w:szCs w:val="30"/>
        </w:rPr>
        <w:t>не употреблять алкоголь и наркотики;</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 </w:t>
      </w: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 </w:t>
      </w: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087792" w:rsidRPr="00607315" w:rsidRDefault="00087792" w:rsidP="00087792">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 </w:t>
      </w:r>
      <w:r w:rsidRPr="00607315">
        <w:rPr>
          <w:rFonts w:ascii="Times New Roman" w:hAnsi="Times New Roman"/>
          <w:color w:val="000000" w:themeColor="text1"/>
          <w:sz w:val="30"/>
          <w:szCs w:val="30"/>
        </w:rPr>
        <w:t>поставить номера родителей на быстрый набор.</w:t>
      </w:r>
    </w:p>
    <w:p w:rsidR="00087792" w:rsidRPr="00685F7F" w:rsidRDefault="00087792" w:rsidP="00087792">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164AD9" w:rsidRPr="00087792" w:rsidRDefault="00164AD9" w:rsidP="00087792"/>
    <w:sectPr w:rsidR="00164AD9" w:rsidRPr="00087792"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E5"/>
    <w:rsid w:val="00087792"/>
    <w:rsid w:val="0012023D"/>
    <w:rsid w:val="00164AD9"/>
    <w:rsid w:val="00356DE5"/>
    <w:rsid w:val="00505C16"/>
    <w:rsid w:val="00AD5E6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E291-0B03-4101-AD35-54B6BCF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DE5"/>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6DE5"/>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56DE5"/>
    <w:rPr>
      <w:rFonts w:eastAsia="Times New Roman"/>
      <w:color w:val="auto"/>
      <w:szCs w:val="20"/>
      <w:lang w:val="ru-RU" w:eastAsia="ru-RU"/>
    </w:rPr>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12023D"/>
    <w:rPr>
      <w:rFonts w:ascii="Times New Roman" w:hAnsi="Times New Roman"/>
      <w:sz w:val="24"/>
      <w:szCs w:val="24"/>
    </w:rPr>
  </w:style>
  <w:style w:type="character" w:customStyle="1" w:styleId="a4">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12023D"/>
    <w:rPr>
      <w:rFonts w:eastAsia="Calibri"/>
      <w:color w:val="auto"/>
      <w:sz w:val="24"/>
      <w:szCs w:val="24"/>
      <w:lang w:val="ru-RU"/>
    </w:rPr>
  </w:style>
  <w:style w:type="paragraph" w:styleId="a5">
    <w:name w:val="No Spacing"/>
    <w:uiPriority w:val="1"/>
    <w:qFormat/>
    <w:rsid w:val="00087792"/>
    <w:pPr>
      <w:jc w:val="left"/>
    </w:pPr>
    <w:rPr>
      <w:rFonts w:asciiTheme="minorHAnsi" w:eastAsiaTheme="minorEastAsia" w:hAnsiTheme="minorHAnsi" w:cstheme="minorBidi"/>
      <w:color w:val="auto"/>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2023-03-14T07:44:00Z</dcterms:created>
  <dcterms:modified xsi:type="dcterms:W3CDTF">2023-03-14T07:44:00Z</dcterms:modified>
</cp:coreProperties>
</file>