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ОБ УПЛАТЕ ФИЗИЧЕСКИМИ ЛИЦАМИ В 2023 ГОДУ АРЕНДНОЙ ПЛАТЫ ЗА ЗЕМЕЛЬНЫЕ УЧАСТКИ, НАХОДЯЩИЕСЯ В ГОСУДАРСТВЕННОЙ СОБСТВЕННОСТИ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Порядок определения, исчисления и уплаты арендной платы за земельные участки, находящиеся в государственной 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- Указ № 160).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Подпунктом 1.1 пункта 1 Указа № 160 установлено, что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размер ежегодной арендной платы за земельный участок определяется местным исполнительным комитетом, администрацией свободной экономической зоны, если иное не установлено Указом № 160 и (или) иными актами Президента Республики Беларусь при: </w:t>
      </w:r>
      <w:r>
        <w:rPr>
          <w:color w:val="000000"/>
          <w:spacing w:val="0"/>
          <w:w w:val="100"/>
          <w:position w:val="0"/>
          <w:sz w:val="24"/>
          <w:szCs w:val="24"/>
        </w:rPr>
        <w:t>предоставлении его в аренду; продлении срока аренды земельного участка; изменении договора аренды земельного участка, предусматривающем изменение размера ежегодной арендной платы за этот земельный участок;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заключении договора аренды земельного участка с победителем аукциона либо единственным участником несостоявшегося аукциона;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арендная плата уплачивается гражданами ежегодно не позднее 15 ноября года, следующего за истекшим календарным годом.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Таким образом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срок уплаты арендной платы за 2022 год - не позднее 15 ноября 2023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Извещение на уплату физическими лицами арендной платы за земельные участки, находящиеся в государственной собственности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налоговыми органами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не направляются.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Сумма арендной платы, подлежащая уплате, указывается в договоре аренды земельного участка.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соответствии с нормами Указа № 160: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- налоговые органы осуществляют контроль за полнотой и своевременностью уплаты арендной платы гражданами;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-неуплата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70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Пресс-центр инспекции МНС Республики Беларусь по Могилевской области т. 29 40 61</w:t>
      </w:r>
    </w:p>
    <w:sectPr>
      <w:footnotePr>
        <w:pos w:val="pageBottom"/>
        <w:numFmt w:val="decimal"/>
        <w:numRestart w:val="continuous"/>
      </w:footnotePr>
      <w:pgSz w:w="11900" w:h="16840"/>
      <w:pgMar w:top="966" w:right="531" w:bottom="966" w:left="536" w:header="538" w:footer="53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2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Чеброва Ирина Петровна</dc:creator>
  <cp:keywords/>
</cp:coreProperties>
</file>