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bookmarkEnd w:id="1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Location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7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lastRenderedPageBreak/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не перемаркировываются.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 xml:space="preserve">), в том числе в случае, если оператор не </w:t>
      </w:r>
      <w:r w:rsidRPr="00026FAA">
        <w:rPr>
          <w:rFonts w:ascii="Times New Roman" w:hAnsi="Times New Roman"/>
          <w:sz w:val="30"/>
          <w:szCs w:val="30"/>
        </w:rPr>
        <w:lastRenderedPageBreak/>
        <w:t>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lastRenderedPageBreak/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субъектом хозяйствования 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8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ePASS)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ePASS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9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ePASS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ePASS.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2. Для создания электронных паспортов товаров (при их отсутствии в ePASS),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0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r>
        <w:rPr>
          <w:lang w:val="en-US"/>
        </w:rPr>
        <w:t>ePASS</w:t>
      </w:r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lastRenderedPageBreak/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ePASS,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lastRenderedPageBreak/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F0913" w14:textId="77777777" w:rsidR="00FE6F5F" w:rsidRDefault="00FE6F5F">
      <w:pPr>
        <w:spacing w:after="0" w:line="240" w:lineRule="auto"/>
      </w:pPr>
      <w:r>
        <w:separator/>
      </w:r>
    </w:p>
  </w:endnote>
  <w:endnote w:type="continuationSeparator" w:id="0">
    <w:p w14:paraId="0F456828" w14:textId="77777777" w:rsidR="00FE6F5F" w:rsidRDefault="00FE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02EC3" w14:textId="77777777" w:rsidR="00FE6F5F" w:rsidRDefault="00FE6F5F">
      <w:pPr>
        <w:spacing w:after="0" w:line="240" w:lineRule="auto"/>
      </w:pPr>
      <w:r>
        <w:separator/>
      </w:r>
    </w:p>
  </w:footnote>
  <w:footnote w:type="continuationSeparator" w:id="0">
    <w:p w14:paraId="09F4DEEC" w14:textId="77777777" w:rsidR="00FE6F5F" w:rsidRDefault="00FE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4561">
      <w:rPr>
        <w:noProof/>
      </w:rPr>
      <w:t>2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56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B0F89"/>
    <w:rsid w:val="008D731B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  <w15:docId w15:val="{DB6BEDF2-D5FC-435C-B4DA-F3FA60A6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tamark.by" TargetMode="Externa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2821</Words>
  <Characters>16084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 </vt:lpstr>
    </vt:vector>
  </TitlesOfParts>
  <Company/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subject/>
  <dc:creator>Балакер Елена Георгиевна</dc:creator>
  <cp:keywords/>
  <dc:description/>
  <cp:lastModifiedBy>Гончарова Светлана Анатольевна</cp:lastModifiedBy>
  <cp:revision>2</cp:revision>
  <cp:lastPrinted>2021-10-12T10:39:00Z</cp:lastPrinted>
  <dcterms:created xsi:type="dcterms:W3CDTF">2021-10-21T05:03:00Z</dcterms:created>
  <dcterms:modified xsi:type="dcterms:W3CDTF">2021-10-21T05:03:00Z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