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  <w:gridCol w:w="36"/>
        <w:gridCol w:w="51"/>
      </w:tblGrid>
      <w:tr w:rsidR="00A83738" w:rsidRPr="00A83738" w:rsidTr="00A83738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 w:rsidRPr="00A83738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ПАМЯТКА получателям социальной пенсии по инвалидности</w:t>
            </w:r>
          </w:p>
        </w:tc>
        <w:tc>
          <w:tcPr>
            <w:tcW w:w="5000" w:type="pct"/>
            <w:hideMark/>
          </w:tcPr>
          <w:p w:rsidR="00A83738" w:rsidRPr="00A83738" w:rsidRDefault="00A83738" w:rsidP="00A83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A83738" w:rsidRPr="00A83738" w:rsidRDefault="00A83738" w:rsidP="00A83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</w:tbl>
    <w:p w:rsidR="00A83738" w:rsidRPr="00A83738" w:rsidRDefault="00A83738" w:rsidP="00A837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A83738" w:rsidRPr="00A83738" w:rsidTr="00A83738">
        <w:trPr>
          <w:tblCellSpacing w:w="15" w:type="dxa"/>
        </w:trPr>
        <w:tc>
          <w:tcPr>
            <w:tcW w:w="0" w:type="auto"/>
            <w:hideMark/>
          </w:tcPr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</w:p>
        </w:tc>
      </w:tr>
      <w:tr w:rsidR="00A83738" w:rsidRPr="00A83738" w:rsidTr="00A83738">
        <w:trPr>
          <w:tblCellSpacing w:w="15" w:type="dxa"/>
        </w:trPr>
        <w:tc>
          <w:tcPr>
            <w:tcW w:w="0" w:type="auto"/>
            <w:hideMark/>
          </w:tcPr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u w:val="single"/>
                <w:lang w:eastAsia="ru-RU"/>
              </w:rPr>
              <w:t>Назначение пенсии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Инвалидам, в том числе инвалидам с детства, не получающим трудовую пенсию и (или) пенсию из других госуда</w:t>
            </w:r>
            <w:proofErr w:type="gramStart"/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рств в с</w:t>
            </w:r>
            <w:proofErr w:type="gramEnd"/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оответствии с международными договорами Республики Беларусь, назначаются социальные пенсии.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случае приобретения</w:t>
            </w:r>
            <w:r w:rsidR="00212BF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пенсионером стажа работы, достаточного для назначения трудовой пенсии по инвалидности, по его заявлению такая пенсия может быть назначена</w:t>
            </w:r>
            <w:r w:rsidR="00212BF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независимо от того, сколько времени прошло после установления группы инвалидности, при этом требуемый стаж работы определяется ко времени первоначального установления группы инвалидности или обращения за пенсией.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 </w:t>
            </w:r>
          </w:p>
          <w:tbl>
            <w:tblPr>
              <w:tblW w:w="2748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1975"/>
            </w:tblGrid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Возраст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Стаж работы (в годах)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До достижения 23 лет 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От 23 лет до достижения 26 лет 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От 26 лет до достижения 31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От 31 года до достижения 36 лет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От 36 лет до достижения 41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От 41 года до достижения 46 лет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От 46 лет до достижения 51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От 51 года до достижения 56 лет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От 56 лет до достижения 61 года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</w:tr>
            <w:tr w:rsidR="00A83738" w:rsidRPr="00A83738" w:rsidTr="00212BF4">
              <w:trPr>
                <w:tblCellSpacing w:w="0" w:type="dxa"/>
              </w:trPr>
              <w:tc>
                <w:tcPr>
                  <w:tcW w:w="33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A837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От 61 года и старше</w:t>
                  </w:r>
                </w:p>
              </w:tc>
              <w:tc>
                <w:tcPr>
                  <w:tcW w:w="16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738" w:rsidRPr="00A83738" w:rsidRDefault="00A83738" w:rsidP="00212B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</w:pPr>
                  <w:r w:rsidRPr="00A83738">
                    <w:rPr>
                      <w:rFonts w:ascii="Arial" w:eastAsia="Times New Roman" w:hAnsi="Arial" w:cs="Arial"/>
                      <w:color w:val="4D4D4D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</w:tr>
          </w:tbl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работы.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Для назначения трудовой пенсии по инвалидности продолжительность стажа работы с уплатой обязательных страховых взносов в бюджет государственного внебюджетного фонда социальной защиты Республики Беларусь (далее – бюджет фонда) должна составлять </w:t>
            </w:r>
            <w:r w:rsidRPr="00A83738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не менее одного дня</w:t>
            </w: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. 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Инвалидам I и II группы, которые не имеют необходимого для назначения полной пенсии стажа работы, может быть назначена пенсия при неполном стаже работы в размере, исчисленном пропорционально имеющемуся стажу.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u w:val="single"/>
                <w:lang w:eastAsia="ru-RU"/>
              </w:rPr>
              <w:t>Стаж работы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</w:t>
            </w:r>
            <w:proofErr w:type="spellStart"/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бюджетфонда</w:t>
            </w:r>
            <w:proofErr w:type="spellEnd"/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согласно законодательству о государственном социальном страховании. 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стаж работы засчитываются также иные периоды:</w:t>
            </w:r>
          </w:p>
          <w:p w:rsidR="00A83738" w:rsidRPr="00A83738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военной службы в Вооруженных Силах Республики Беларусь;</w:t>
            </w:r>
          </w:p>
          <w:p w:rsidR="00A83738" w:rsidRPr="00A83738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отпуска по уходу за ребенком и ухода за детьми до достижения ими возраста 3 лет, но не более 9 лет в общей сложности;</w:t>
            </w:r>
          </w:p>
          <w:p w:rsidR="00A83738" w:rsidRPr="00A83738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ухода за инвалидом I группы или ребенком-инвалидом в возрасте до 18 лет, а также за престарелым, достигшим 80-летнего возраста, нуждающимся по заключению МРЭК или государственной организации здравоохранения в постоянном уходе, осуществляемого трудоспособным лицом;</w:t>
            </w:r>
          </w:p>
          <w:p w:rsidR="00A83738" w:rsidRPr="00A83738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получения в дневной форме профессионально-технического, среднего специального, высшего и послевузовского образования;</w:t>
            </w:r>
          </w:p>
          <w:p w:rsidR="00A83738" w:rsidRPr="00A83738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получения пособия по безработице, но не более шести месяцев в общей сложности;</w:t>
            </w:r>
          </w:p>
          <w:p w:rsidR="00A83738" w:rsidRPr="00A83738" w:rsidRDefault="00A83738" w:rsidP="00A8373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альтернативной службы.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u w:val="single"/>
                <w:lang w:eastAsia="ru-RU"/>
              </w:rPr>
              <w:t>Подтверждение стажа работы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Стаж работы подтверждается трудовой книжкой, а при ее отсутствии – иными документами, содержащими сведения о периодах работы, либо справками об уплате обязательных страховых взносов в бюджет фонда.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Периоды работы, иной деятельности после 01.01.2003 подтверждаются выпиской из индивидуального лицевого счета, выдаваемой районными (городскими) отделами </w:t>
            </w:r>
            <w:proofErr w:type="gramStart"/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Фонда социальной защиты населения Министерства труда</w:t>
            </w:r>
            <w:proofErr w:type="gramEnd"/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и социальной защиты по запросу органа, осуществляющего пенсионное обеспечение.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Иные периоды, засчитываемые в стаж работы подтверждаются</w:t>
            </w:r>
            <w:proofErr w:type="gramEnd"/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соответствующими документами, содержащими необходимые сведения.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u w:val="single"/>
                <w:lang w:eastAsia="ru-RU"/>
              </w:rPr>
              <w:t>Перевод на трудовую пенсию по инвалидности 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      </w:r>
          </w:p>
          <w:p w:rsidR="00A83738" w:rsidRPr="00A83738" w:rsidRDefault="00A83738" w:rsidP="00A8373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Перевод с одной пенсии на другую производится </w:t>
            </w:r>
            <w:r w:rsidRPr="00A83738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u w:val="single"/>
                <w:lang w:eastAsia="ru-RU"/>
              </w:rPr>
              <w:t>со дня подачи</w:t>
            </w:r>
            <w:r w:rsidR="00212BF4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соответствующего заявления со всеми необходимыми документами (если их нет в пенсионном деле) в органы, осуществляющие пенсионное обеспечение, по месту получения пенсии.</w:t>
            </w:r>
          </w:p>
          <w:p w:rsidR="00A83738" w:rsidRPr="00A83738" w:rsidRDefault="00A83738" w:rsidP="00212BF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8373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Более подробную консультацию можно получить по телефонам: </w:t>
            </w:r>
            <w:r w:rsidR="00212BF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80224779234,80224779236.</w:t>
            </w:r>
          </w:p>
        </w:tc>
      </w:tr>
    </w:tbl>
    <w:p w:rsidR="00241F32" w:rsidRDefault="00212BF4">
      <w:bookmarkStart w:id="0" w:name="_GoBack"/>
      <w:bookmarkEnd w:id="0"/>
    </w:p>
    <w:sectPr w:rsidR="00241F32" w:rsidSect="00A83738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448B"/>
    <w:multiLevelType w:val="multilevel"/>
    <w:tmpl w:val="773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38"/>
    <w:rsid w:val="00212BF4"/>
    <w:rsid w:val="007F561A"/>
    <w:rsid w:val="00A83738"/>
    <w:rsid w:val="00B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ГИССЗ 1</cp:lastModifiedBy>
  <cp:revision>2</cp:revision>
  <dcterms:created xsi:type="dcterms:W3CDTF">2020-12-21T13:06:00Z</dcterms:created>
  <dcterms:modified xsi:type="dcterms:W3CDTF">2020-12-21T14:09:00Z</dcterms:modified>
</cp:coreProperties>
</file>